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074416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Информация по оплате населением коммунальной услуги по обращению с твёрдыми коммунальными отходами.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1 января 2019 года в соответствии с законодательством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Российской Ф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едерации Кабардино-Балкария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переш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ла на новую систему обращения с твёрдыми коммунальными отходами (далее - ТКО). На территории Кабардино-Балкарской Респ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ублики путем конкурсного отбора 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определен региональный оператор ООО «ЭКОЛОГИСТИКА». Границы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территории, на которой работает региональный оператор, определяются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территориальной схемой, утвержденной постановлением Правительства Кабардино-Балкарской Республики от 27.10.2016 г.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196-ПП «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Обутверждении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Территориальной схемы обращения с отходами, в том числе с твердыми коммунальными отходами, в Кабардино-Балкарской Республике» (далее - Территориальная схема), в соответствии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которой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Кабардино-Балкарская Республика разделена на три зоны деятельности.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территории Кабардино-Балкарской Республики размер платы за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коммунальную услугу по обращению с ТКО определяется исходя из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утвержденного единого тарифа на услугу регионального оператора по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обращению с ТКО приказом М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инистерства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27 июня 2019 года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22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«О внесении изменения в приказ М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инистерства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энергетики, тарифов и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жилищного надзора Кабардино-Балкарской Республики от 24 августа 2018 года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29», нормативов накопления ТКО утвержденных приказом М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инистерства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инфраструктуры и цифрового развития Кабардино-Балкарской Республики от 5 октября 2018 года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79-П «Об утверждении нормативов накопления твердых коммунальных отходов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ерритории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Кабардино-Балкарской Республики» и количества граждан, постоянно и временно проживаю щ их в жилом помещении. В качестве расчетной единицы для домовладений принимается норматив накопления ТКО на 1 проживающего в жилом помещении.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Территориальной схемой к III зоне деятельности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относятся:' г. Баксан, </w:t>
      </w:r>
      <w:proofErr w:type="spell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Баксанский</w:t>
      </w:r>
      <w:proofErr w:type="spell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Зольский, Эльбрусский, Чегемский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муниципальные района.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Единые тарифы на услугу регионального оператора по обращению с ТКО для III зоны деятельности без НДС составляют: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первом полугодии 2019 года - 306,52 руб./м</w:t>
      </w:r>
      <w:proofErr w:type="gram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3.;</w:t>
      </w:r>
      <w:proofErr w:type="gram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 втором полугодии 2019 года - 304,66 руб./м </w:t>
      </w:r>
      <w:proofErr w:type="gram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3.,</w:t>
      </w:r>
      <w:proofErr w:type="gram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них: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- расходы на оплату других операторов по обращению с ТКО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(обработка, захоронение ТКО) - 57,72 руб./м3;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- затраты на сбор и транспортирование - 173,65 руб./м 3;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- расходы на заключение и обслуживание договоров - 69,80 руб./м3;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- прочие расходы - 3,49 руб./м 3.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Исходя из установленных единых тарифов на услугу регионального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оператора по обращению с ТКО и утвержд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енных нормативов 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накопления ТКО плата </w:t>
      </w:r>
      <w:proofErr w:type="gramStart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населения</w:t>
      </w:r>
      <w:proofErr w:type="gramEnd"/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относящегося к III зоне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деятельности составляет без НДС: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прож</w:t>
      </w: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иваю щ их в многоквартирных домах -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первом полугодии - 76,38 руб./с чел. в месяц;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 втором полугодии - 75,92 руб./с чел. в месяц,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жителей частного сектора -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первом полугодии - 80,98 руб./с чел. в месяц; </w:t>
      </w:r>
    </w:p>
    <w:p w:rsidR="00074416" w:rsidRPr="00074416" w:rsidRDefault="00074416" w:rsidP="0007441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74416">
        <w:rPr>
          <w:rFonts w:ascii="Times New Roman" w:eastAsia="Times New Roman" w:hAnsi="Times New Roman" w:cs="Times New Roman"/>
          <w:sz w:val="30"/>
          <w:szCs w:val="30"/>
          <w:lang w:eastAsia="ru-RU"/>
        </w:rPr>
        <w:t>во втором полугодии - 80,48 руб./с чел. в месяц.</w:t>
      </w:r>
    </w:p>
    <w:p w:rsidR="00767573" w:rsidRDefault="00767573"/>
    <w:sectPr w:rsidR="0076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16"/>
    <w:rsid w:val="00074416"/>
    <w:rsid w:val="00767573"/>
    <w:rsid w:val="0086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0EFDD-255E-411E-8B55-D2C17709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3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</dc:creator>
  <cp:keywords/>
  <dc:description/>
  <cp:lastModifiedBy>топ</cp:lastModifiedBy>
  <cp:revision>2</cp:revision>
  <dcterms:created xsi:type="dcterms:W3CDTF">2019-10-23T07:28:00Z</dcterms:created>
  <dcterms:modified xsi:type="dcterms:W3CDTF">2019-10-23T07:28:00Z</dcterms:modified>
</cp:coreProperties>
</file>